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296" w:rsidRPr="005E3A6D" w:rsidRDefault="00C04296" w:rsidP="00C04296">
      <w:pPr>
        <w:pStyle w:val="a3"/>
        <w:jc w:val="both"/>
        <w:rPr>
          <w:rFonts w:ascii="Arial" w:eastAsia="TimesNewRomanPSMT" w:hAnsi="Arial" w:cs="Arial"/>
          <w:lang w:val="en-US"/>
        </w:rPr>
      </w:pPr>
      <w:r w:rsidRPr="00793060">
        <w:rPr>
          <w:rFonts w:ascii="Arial" w:eastAsia="TimesNewRomanPSMT" w:hAnsi="Arial" w:cs="Arial"/>
          <w:highlight w:val="yellow"/>
          <w:lang w:val="en-US"/>
        </w:rPr>
        <w:t>(</w:t>
      </w:r>
      <w:proofErr w:type="gramStart"/>
      <w:r w:rsidRPr="00793060">
        <w:rPr>
          <w:rFonts w:ascii="Arial" w:eastAsia="TimesNewRomanPSMT" w:hAnsi="Arial" w:cs="Arial"/>
          <w:highlight w:val="yellow"/>
          <w:lang w:val="en-US"/>
        </w:rPr>
        <w:t>1)</w:t>
      </w:r>
      <w:r w:rsidRPr="005E3A6D">
        <w:rPr>
          <w:rFonts w:ascii="Arial" w:eastAsia="TimesNewRomanPSMT" w:hAnsi="Arial" w:cs="Arial"/>
          <w:lang w:val="en-US"/>
        </w:rPr>
        <w:t>Cellulose</w:t>
      </w:r>
      <w:proofErr w:type="gramEnd"/>
      <w:r w:rsidRPr="005E3A6D">
        <w:rPr>
          <w:rFonts w:ascii="Arial" w:eastAsia="TimesNewRomanPSMT" w:hAnsi="Arial" w:cs="Arial"/>
          <w:lang w:val="en-US"/>
        </w:rPr>
        <w:t xml:space="preserve"> biosynthesis is </w:t>
      </w:r>
      <w:r w:rsidRPr="00793060">
        <w:rPr>
          <w:rFonts w:ascii="Arial" w:eastAsia="TimesNewRomanPSMT" w:hAnsi="Arial" w:cs="Arial"/>
          <w:highlight w:val="yellow"/>
          <w:lang w:val="en-US"/>
        </w:rPr>
        <w:t>(2)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vital biochemical process in </w:t>
      </w:r>
      <w:r w:rsidRPr="00793060">
        <w:rPr>
          <w:rFonts w:ascii="Arial" w:eastAsia="TimesNewRomanPSMT" w:hAnsi="Arial" w:cs="Arial"/>
          <w:highlight w:val="yellow"/>
          <w:lang w:val="en-US"/>
        </w:rPr>
        <w:t>(3)</w:t>
      </w:r>
      <w:r w:rsidRPr="00793060"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higher plants. This process is essential not only to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(4) </w:t>
      </w:r>
      <w:r w:rsidRPr="005E3A6D">
        <w:rPr>
          <w:rFonts w:ascii="Arial" w:eastAsia="TimesNewRomanPSMT" w:hAnsi="Arial" w:cs="Arial"/>
          <w:lang w:val="en-US"/>
        </w:rPr>
        <w:t xml:space="preserve">cell growth,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(5) </w:t>
      </w:r>
      <w:r w:rsidRPr="005E3A6D">
        <w:rPr>
          <w:rFonts w:ascii="Arial" w:eastAsia="TimesNewRomanPSMT" w:hAnsi="Arial" w:cs="Arial"/>
          <w:lang w:val="en-US"/>
        </w:rPr>
        <w:t xml:space="preserve">division, and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(6) </w:t>
      </w:r>
      <w:r w:rsidRPr="005E3A6D">
        <w:rPr>
          <w:rFonts w:ascii="Arial" w:eastAsia="TimesNewRomanPSMT" w:hAnsi="Arial" w:cs="Arial"/>
          <w:lang w:val="en-US"/>
        </w:rPr>
        <w:t xml:space="preserve">differentiation, but also to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(7) </w:t>
      </w:r>
      <w:r w:rsidRPr="005E3A6D">
        <w:rPr>
          <w:rFonts w:ascii="Arial" w:eastAsia="TimesNewRomanPSMT" w:hAnsi="Arial" w:cs="Arial"/>
          <w:lang w:val="en-US"/>
        </w:rPr>
        <w:t xml:space="preserve">tissue formation as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(8) </w:t>
      </w:r>
      <w:r w:rsidRPr="005E3A6D">
        <w:rPr>
          <w:rFonts w:ascii="Arial" w:eastAsia="TimesNewRomanPSMT" w:hAnsi="Arial" w:cs="Arial"/>
          <w:lang w:val="en-US"/>
        </w:rPr>
        <w:t xml:space="preserve">whole. Owing to its vital function,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(9) </w:t>
      </w:r>
      <w:r w:rsidRPr="005E3A6D">
        <w:rPr>
          <w:rFonts w:ascii="Arial" w:eastAsia="TimesNewRomanPSMT" w:hAnsi="Arial" w:cs="Arial"/>
          <w:lang w:val="en-US"/>
        </w:rPr>
        <w:t xml:space="preserve">cellulose biosynthesis can be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(10) </w:t>
      </w:r>
      <w:r w:rsidRPr="005E3A6D">
        <w:rPr>
          <w:rFonts w:ascii="Arial" w:eastAsia="TimesNewRomanPSMT" w:hAnsi="Arial" w:cs="Arial"/>
          <w:lang w:val="en-US"/>
        </w:rPr>
        <w:t xml:space="preserve">target of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(11) </w:t>
      </w:r>
      <w:r w:rsidRPr="005E3A6D">
        <w:rPr>
          <w:rFonts w:ascii="Arial" w:eastAsia="TimesNewRomanPSMT" w:hAnsi="Arial" w:cs="Arial"/>
          <w:lang w:val="en-US"/>
        </w:rPr>
        <w:t xml:space="preserve">specific inhibitors that can be used as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(12) </w:t>
      </w:r>
      <w:r w:rsidRPr="005E3A6D">
        <w:rPr>
          <w:rFonts w:ascii="Arial" w:eastAsia="TimesNewRomanPSMT" w:hAnsi="Arial" w:cs="Arial"/>
          <w:lang w:val="en-US"/>
        </w:rPr>
        <w:t>herbicides (</w:t>
      </w:r>
      <w:proofErr w:type="spellStart"/>
      <w:r w:rsidRPr="005E3A6D">
        <w:rPr>
          <w:rFonts w:ascii="Arial" w:eastAsia="TimesNewRomanPSMT" w:hAnsi="Arial" w:cs="Arial"/>
          <w:lang w:val="en-US"/>
        </w:rPr>
        <w:t>Sabba</w:t>
      </w:r>
      <w:proofErr w:type="spellEnd"/>
      <w:r w:rsidRPr="005E3A6D">
        <w:rPr>
          <w:rFonts w:ascii="Arial" w:eastAsia="TimesNewRomanPSMT" w:hAnsi="Arial" w:cs="Arial"/>
          <w:lang w:val="en-US"/>
        </w:rPr>
        <w:t xml:space="preserve"> and Vaughn 1999). However,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(13) </w:t>
      </w:r>
      <w:r w:rsidRPr="005E3A6D">
        <w:rPr>
          <w:rFonts w:ascii="Arial" w:eastAsia="TimesNewRomanPSMT" w:hAnsi="Arial" w:cs="Arial"/>
          <w:lang w:val="en-US"/>
        </w:rPr>
        <w:t xml:space="preserve">action of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(14) </w:t>
      </w:r>
      <w:r w:rsidRPr="005E3A6D">
        <w:rPr>
          <w:rFonts w:ascii="Arial" w:eastAsia="TimesNewRomanPSMT" w:hAnsi="Arial" w:cs="Arial"/>
          <w:lang w:val="en-US"/>
        </w:rPr>
        <w:t xml:space="preserve">available drugs </w:t>
      </w:r>
      <w:proofErr w:type="gramStart"/>
      <w:r w:rsidRPr="005E3A6D">
        <w:rPr>
          <w:rFonts w:ascii="Arial" w:eastAsia="TimesNewRomanPSMT" w:hAnsi="Arial" w:cs="Arial"/>
          <w:lang w:val="en-US"/>
        </w:rPr>
        <w:t>remains</w:t>
      </w:r>
      <w:proofErr w:type="gramEnd"/>
      <w:r w:rsidRPr="005E3A6D">
        <w:rPr>
          <w:rFonts w:ascii="Arial" w:eastAsia="TimesNewRomanPSMT" w:hAnsi="Arial" w:cs="Arial"/>
          <w:lang w:val="en-US"/>
        </w:rPr>
        <w:t xml:space="preserve"> largely unknown, and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(15) </w:t>
      </w:r>
      <w:r w:rsidRPr="005E3A6D">
        <w:rPr>
          <w:rFonts w:ascii="Arial" w:eastAsia="TimesNewRomanPSMT" w:hAnsi="Arial" w:cs="Arial"/>
          <w:lang w:val="en-US"/>
        </w:rPr>
        <w:t xml:space="preserve">existence of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(16) </w:t>
      </w:r>
      <w:r w:rsidRPr="005E3A6D">
        <w:rPr>
          <w:rFonts w:ascii="Arial" w:eastAsia="TimesNewRomanPSMT" w:hAnsi="Arial" w:cs="Arial"/>
          <w:lang w:val="en-US"/>
        </w:rPr>
        <w:t xml:space="preserve">direct interaction with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(17) </w:t>
      </w:r>
      <w:r w:rsidRPr="005E3A6D">
        <w:rPr>
          <w:rFonts w:ascii="Arial" w:eastAsia="TimesNewRomanPSMT" w:hAnsi="Arial" w:cs="Arial"/>
          <w:lang w:val="en-US"/>
        </w:rPr>
        <w:t>cellulose synthase</w:t>
      </w:r>
      <w:r w:rsidRPr="005E3A6D">
        <w:rPr>
          <w:rFonts w:ascii="Arial" w:hAnsi="Arial" w:cs="Arial"/>
          <w:lang w:val="en-US"/>
        </w:rPr>
        <w:t> </w:t>
      </w:r>
      <w:r w:rsidRPr="005E3A6D">
        <w:rPr>
          <w:rFonts w:ascii="Arial" w:eastAsia="TimesNewRomanPSMT" w:hAnsi="Arial" w:cs="Arial"/>
          <w:lang w:val="en-US"/>
        </w:rPr>
        <w:t>machinery is not demonstrated in</w:t>
      </w:r>
      <w:r>
        <w:rPr>
          <w:rFonts w:ascii="Arial" w:eastAsia="TimesNewRomanPSMT" w:hAnsi="Arial" w:cs="Arial"/>
          <w:lang w:val="en-US"/>
        </w:rPr>
        <w:t xml:space="preserve">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(18) </w:t>
      </w:r>
      <w:r>
        <w:rPr>
          <w:rFonts w:ascii="Arial" w:eastAsia="TimesNewRomanPSMT" w:hAnsi="Arial" w:cs="Arial"/>
          <w:lang w:val="en-US"/>
        </w:rPr>
        <w:t xml:space="preserve">majority of </w:t>
      </w:r>
      <w:r w:rsidRPr="00793060">
        <w:rPr>
          <w:rFonts w:ascii="Arial" w:eastAsia="TimesNewRomanPSMT" w:hAnsi="Arial" w:cs="Arial"/>
          <w:highlight w:val="yellow"/>
          <w:lang w:val="en-US"/>
        </w:rPr>
        <w:t xml:space="preserve">(19) </w:t>
      </w:r>
      <w:r w:rsidRPr="005E3A6D">
        <w:rPr>
          <w:rFonts w:ascii="Arial" w:eastAsia="TimesNewRomanPSMT" w:hAnsi="Arial" w:cs="Arial"/>
          <w:lang w:val="en-US"/>
        </w:rPr>
        <w:t xml:space="preserve">cases. </w:t>
      </w:r>
    </w:p>
    <w:p w:rsidR="00C04296" w:rsidRPr="005E3A6D" w:rsidRDefault="00C04296" w:rsidP="00C04296">
      <w:pPr>
        <w:pStyle w:val="a3"/>
        <w:jc w:val="both"/>
        <w:rPr>
          <w:rFonts w:ascii="Arial" w:eastAsia="TimesNewRomanPSMT" w:hAnsi="Arial" w:cs="Arial"/>
          <w:lang w:val="en-US"/>
        </w:rPr>
      </w:pPr>
      <w:r w:rsidRPr="00793060">
        <w:rPr>
          <w:rFonts w:ascii="Arial" w:eastAsia="TimesNewRomanPSMT" w:hAnsi="Arial" w:cs="Arial"/>
          <w:highlight w:val="yellow"/>
          <w:lang w:val="en-US"/>
        </w:rPr>
        <w:t>(</w:t>
      </w:r>
      <w:proofErr w:type="gramStart"/>
      <w:r w:rsidRPr="00793060">
        <w:rPr>
          <w:rFonts w:ascii="Arial" w:eastAsia="TimesNewRomanPSMT" w:hAnsi="Arial" w:cs="Arial"/>
          <w:highlight w:val="yellow"/>
          <w:lang w:val="en-US"/>
        </w:rPr>
        <w:t>20)</w:t>
      </w:r>
      <w:proofErr w:type="spellStart"/>
      <w:r w:rsidRPr="005E3A6D">
        <w:rPr>
          <w:rFonts w:ascii="Arial" w:eastAsia="TimesNewRomanPSMT" w:hAnsi="Arial" w:cs="Arial"/>
          <w:lang w:val="en-US"/>
        </w:rPr>
        <w:t>Dichlorbenzonitrile</w:t>
      </w:r>
      <w:proofErr w:type="spellEnd"/>
      <w:proofErr w:type="gramEnd"/>
      <w:r w:rsidRPr="005E3A6D">
        <w:rPr>
          <w:rFonts w:ascii="Arial" w:eastAsia="TimesNewRomanPSMT" w:hAnsi="Arial" w:cs="Arial"/>
          <w:lang w:val="en-US"/>
        </w:rPr>
        <w:t xml:space="preserve"> is </w:t>
      </w:r>
      <w:r w:rsidRPr="00793060">
        <w:rPr>
          <w:rFonts w:ascii="Arial" w:eastAsia="TimesNewRomanPSMT" w:hAnsi="Arial" w:cs="Arial"/>
          <w:highlight w:val="yellow"/>
          <w:lang w:val="en-US"/>
        </w:rPr>
        <w:t>(21)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typical example of </w:t>
      </w:r>
      <w:r w:rsidRPr="00793060">
        <w:rPr>
          <w:rFonts w:ascii="Arial" w:eastAsia="TimesNewRomanPSMT" w:hAnsi="Arial" w:cs="Arial"/>
          <w:highlight w:val="yellow"/>
          <w:lang w:val="en-US"/>
        </w:rPr>
        <w:t>(22)</w:t>
      </w:r>
      <w:r w:rsidRPr="005E3A6D">
        <w:rPr>
          <w:rFonts w:ascii="Arial" w:eastAsia="TimesNewRomanPSMT" w:hAnsi="Arial" w:cs="Arial"/>
          <w:lang w:val="en-US"/>
        </w:rPr>
        <w:t xml:space="preserve"> herbicide affecting </w:t>
      </w:r>
      <w:r w:rsidRPr="00793060">
        <w:rPr>
          <w:rFonts w:ascii="Arial" w:eastAsia="TimesNewRomanPSMT" w:hAnsi="Arial" w:cs="Arial"/>
          <w:highlight w:val="yellow"/>
          <w:lang w:val="en-US"/>
        </w:rPr>
        <w:t>(23)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cellulose biosynthesis in </w:t>
      </w:r>
      <w:r w:rsidRPr="00793060">
        <w:rPr>
          <w:rFonts w:ascii="Arial" w:eastAsia="TimesNewRomanPSMT" w:hAnsi="Arial" w:cs="Arial"/>
          <w:highlight w:val="yellow"/>
          <w:lang w:val="en-US"/>
        </w:rPr>
        <w:t>(24)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indirect way. Although this drug has been used for </w:t>
      </w:r>
      <w:r w:rsidRPr="00793060">
        <w:rPr>
          <w:rFonts w:ascii="Arial" w:eastAsia="TimesNewRomanPSMT" w:hAnsi="Arial" w:cs="Arial"/>
          <w:highlight w:val="yellow"/>
          <w:lang w:val="en-US"/>
        </w:rPr>
        <w:t>(25)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decades to inhibit </w:t>
      </w:r>
      <w:r w:rsidRPr="00793060">
        <w:rPr>
          <w:rFonts w:ascii="Arial" w:eastAsia="TimesNewRomanPSMT" w:hAnsi="Arial" w:cs="Arial"/>
          <w:highlight w:val="yellow"/>
          <w:lang w:val="en-US"/>
        </w:rPr>
        <w:t>(26)</w:t>
      </w:r>
      <w:r w:rsidRPr="005E3A6D">
        <w:rPr>
          <w:rFonts w:ascii="Arial" w:eastAsia="TimesNewRomanPSMT" w:hAnsi="Arial" w:cs="Arial"/>
          <w:lang w:val="en-US"/>
        </w:rPr>
        <w:t xml:space="preserve"> growth of </w:t>
      </w:r>
      <w:r w:rsidRPr="00793060">
        <w:rPr>
          <w:rFonts w:ascii="Arial" w:eastAsia="TimesNewRomanPSMT" w:hAnsi="Arial" w:cs="Arial"/>
          <w:highlight w:val="yellow"/>
          <w:lang w:val="en-US"/>
        </w:rPr>
        <w:t>(27)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undesirable weeds in </w:t>
      </w:r>
      <w:r w:rsidRPr="00793060">
        <w:rPr>
          <w:rFonts w:ascii="Arial" w:eastAsia="TimesNewRomanPSMT" w:hAnsi="Arial" w:cs="Arial"/>
          <w:highlight w:val="yellow"/>
          <w:lang w:val="en-US"/>
        </w:rPr>
        <w:t>(28)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shrub beds, </w:t>
      </w:r>
      <w:r w:rsidRPr="00793060">
        <w:rPr>
          <w:rFonts w:ascii="Arial" w:eastAsia="TimesNewRomanPSMT" w:hAnsi="Arial" w:cs="Arial"/>
          <w:highlight w:val="yellow"/>
          <w:lang w:val="en-US"/>
        </w:rPr>
        <w:t>(29)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orchards, and </w:t>
      </w:r>
      <w:r w:rsidRPr="00793060">
        <w:rPr>
          <w:rFonts w:ascii="Arial" w:eastAsia="TimesNewRomanPSMT" w:hAnsi="Arial" w:cs="Arial"/>
          <w:highlight w:val="yellow"/>
          <w:lang w:val="en-US"/>
        </w:rPr>
        <w:t>(30)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berry fields, </w:t>
      </w:r>
      <w:r w:rsidRPr="00793060">
        <w:rPr>
          <w:rFonts w:ascii="Arial" w:eastAsia="TimesNewRomanPSMT" w:hAnsi="Arial" w:cs="Arial"/>
          <w:highlight w:val="yellow"/>
          <w:lang w:val="en-US"/>
        </w:rPr>
        <w:t>(31)</w:t>
      </w:r>
      <w:r w:rsidRPr="005E3A6D">
        <w:rPr>
          <w:rFonts w:ascii="Arial" w:eastAsia="TimesNewRomanPSMT" w:hAnsi="Arial" w:cs="Arial"/>
          <w:lang w:val="en-US"/>
        </w:rPr>
        <w:t xml:space="preserve"> principle of its action through </w:t>
      </w:r>
      <w:r w:rsidRPr="00793060">
        <w:rPr>
          <w:rFonts w:ascii="Arial" w:eastAsia="TimesNewRomanPSMT" w:hAnsi="Arial" w:cs="Arial"/>
          <w:highlight w:val="yellow"/>
          <w:lang w:val="en-US"/>
        </w:rPr>
        <w:t>(32)</w:t>
      </w:r>
      <w:r w:rsidRPr="005E3A6D">
        <w:rPr>
          <w:rFonts w:ascii="Arial" w:eastAsia="TimesNewRomanPSMT" w:hAnsi="Arial" w:cs="Arial"/>
          <w:lang w:val="en-US"/>
        </w:rPr>
        <w:t xml:space="preserve"> microtubule-associated protein has been established only recently (</w:t>
      </w:r>
      <w:proofErr w:type="spellStart"/>
      <w:r w:rsidRPr="005E3A6D">
        <w:rPr>
          <w:rFonts w:ascii="Arial" w:eastAsia="TimesNewRomanPSMT" w:hAnsi="Arial" w:cs="Arial"/>
          <w:lang w:val="en-US"/>
        </w:rPr>
        <w:t>Rajangam</w:t>
      </w:r>
      <w:proofErr w:type="spellEnd"/>
      <w:r w:rsidRPr="005E3A6D">
        <w:rPr>
          <w:rFonts w:ascii="Arial" w:eastAsia="TimesNewRomanPSMT" w:hAnsi="Arial" w:cs="Arial"/>
          <w:lang w:val="en-US"/>
        </w:rPr>
        <w:t xml:space="preserve"> et al. 2008). </w:t>
      </w:r>
      <w:r w:rsidRPr="00793060">
        <w:rPr>
          <w:rFonts w:ascii="Arial" w:eastAsia="TimesNewRomanPSMT" w:hAnsi="Arial" w:cs="Arial"/>
          <w:highlight w:val="yellow"/>
          <w:lang w:val="en-US"/>
        </w:rPr>
        <w:t>(33)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Most herbicides targeted to </w:t>
      </w:r>
      <w:r w:rsidRPr="00793060">
        <w:rPr>
          <w:rFonts w:ascii="Arial" w:eastAsia="TimesNewRomanPSMT" w:hAnsi="Arial" w:cs="Arial"/>
          <w:highlight w:val="yellow"/>
          <w:lang w:val="en-US"/>
        </w:rPr>
        <w:t>(34)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cellulose biosynthesis </w:t>
      </w:r>
      <w:proofErr w:type="gramStart"/>
      <w:r w:rsidRPr="005E3A6D">
        <w:rPr>
          <w:rFonts w:ascii="Arial" w:eastAsia="TimesNewRomanPSMT" w:hAnsi="Arial" w:cs="Arial"/>
          <w:lang w:val="en-US"/>
        </w:rPr>
        <w:t>have</w:t>
      </w:r>
      <w:proofErr w:type="gramEnd"/>
      <w:r w:rsidRPr="005E3A6D">
        <w:rPr>
          <w:rFonts w:ascii="Arial" w:eastAsia="TimesNewRomanPSMT" w:hAnsi="Arial" w:cs="Arial"/>
          <w:lang w:val="en-US"/>
        </w:rPr>
        <w:t xml:space="preserve"> in </w:t>
      </w:r>
      <w:r w:rsidRPr="00793060">
        <w:rPr>
          <w:rFonts w:ascii="Arial" w:eastAsia="TimesNewRomanPSMT" w:hAnsi="Arial" w:cs="Arial"/>
          <w:highlight w:val="yellow"/>
          <w:lang w:val="en-US"/>
        </w:rPr>
        <w:t>(35)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fact been isolated empirically, e.g., by screening </w:t>
      </w:r>
      <w:r w:rsidRPr="00793060">
        <w:rPr>
          <w:rFonts w:ascii="Arial" w:eastAsia="TimesNewRomanPSMT" w:hAnsi="Arial" w:cs="Arial"/>
          <w:highlight w:val="yellow"/>
          <w:lang w:val="en-US"/>
        </w:rPr>
        <w:t>(36)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libraries of </w:t>
      </w:r>
      <w:r w:rsidRPr="00793060">
        <w:rPr>
          <w:rFonts w:ascii="Arial" w:eastAsia="TimesNewRomanPSMT" w:hAnsi="Arial" w:cs="Arial"/>
          <w:highlight w:val="yellow"/>
          <w:lang w:val="en-US"/>
        </w:rPr>
        <w:t>(37)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molecules for their effect on </w:t>
      </w:r>
      <w:r w:rsidRPr="00793060">
        <w:rPr>
          <w:rFonts w:ascii="Arial" w:eastAsia="TimesNewRomanPSMT" w:hAnsi="Arial" w:cs="Arial"/>
          <w:highlight w:val="yellow"/>
          <w:lang w:val="en-US"/>
        </w:rPr>
        <w:t>(38)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plant growth, rather than through </w:t>
      </w:r>
      <w:r w:rsidRPr="00793060">
        <w:rPr>
          <w:rFonts w:ascii="Arial" w:eastAsia="TimesNewRomanPSMT" w:hAnsi="Arial" w:cs="Arial"/>
          <w:highlight w:val="yellow"/>
          <w:lang w:val="en-US"/>
        </w:rPr>
        <w:t>(39)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rational design. </w:t>
      </w:r>
    </w:p>
    <w:p w:rsidR="00C04296" w:rsidRDefault="00C04296" w:rsidP="00C04296">
      <w:pPr>
        <w:pStyle w:val="a3"/>
        <w:jc w:val="both"/>
        <w:rPr>
          <w:rFonts w:ascii="Arial" w:eastAsia="TimesNewRomanPSMT" w:hAnsi="Arial" w:cs="Arial"/>
          <w:lang w:val="en-US"/>
        </w:rPr>
      </w:pPr>
      <w:r w:rsidRPr="00793060">
        <w:rPr>
          <w:rFonts w:ascii="Arial" w:eastAsia="TimesNewRomanPSMT" w:hAnsi="Arial" w:cs="Arial"/>
          <w:highlight w:val="yellow"/>
          <w:lang w:val="en-US"/>
        </w:rPr>
        <w:t>(40)</w:t>
      </w:r>
      <w:r w:rsidRPr="005E3A6D">
        <w:rPr>
          <w:rFonts w:ascii="Arial" w:eastAsia="TimesNewRomanPSMT" w:hAnsi="Arial" w:cs="Arial"/>
          <w:lang w:val="en-US"/>
        </w:rPr>
        <w:t xml:space="preserve"> </w:t>
      </w:r>
      <w:r>
        <w:rPr>
          <w:rFonts w:ascii="Arial" w:eastAsia="TimesNewRomanPSMT" w:hAnsi="Arial" w:cs="Arial"/>
          <w:lang w:val="en-US"/>
        </w:rPr>
        <w:t>P</w:t>
      </w:r>
      <w:r w:rsidRPr="005E3A6D">
        <w:rPr>
          <w:rFonts w:ascii="Arial" w:eastAsia="TimesNewRomanPSMT" w:hAnsi="Arial" w:cs="Arial"/>
          <w:lang w:val="en-US"/>
        </w:rPr>
        <w:t xml:space="preserve">rocess of </w:t>
      </w:r>
      <w:r w:rsidRPr="00793060">
        <w:rPr>
          <w:rFonts w:ascii="Arial" w:eastAsia="TimesNewRomanPSMT" w:hAnsi="Arial" w:cs="Arial"/>
          <w:highlight w:val="yellow"/>
          <w:lang w:val="en-US"/>
        </w:rPr>
        <w:t>(41)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>cellulose biosynthesis remains to be fully understood,</w:t>
      </w:r>
      <w:r w:rsidRPr="005E3A6D">
        <w:rPr>
          <w:rFonts w:ascii="Arial" w:hAnsi="Arial" w:cs="Arial"/>
          <w:lang w:val="en-US"/>
        </w:rPr>
        <w:t> </w:t>
      </w:r>
      <w:r w:rsidRPr="005E3A6D">
        <w:rPr>
          <w:rFonts w:ascii="Arial" w:eastAsia="TimesNewRomanPSMT" w:hAnsi="Arial" w:cs="Arial"/>
          <w:lang w:val="en-US"/>
        </w:rPr>
        <w:t xml:space="preserve">despite </w:t>
      </w:r>
      <w:r w:rsidRPr="00793060">
        <w:rPr>
          <w:rFonts w:ascii="Arial" w:eastAsia="TimesNewRomanPSMT" w:hAnsi="Arial" w:cs="Arial"/>
          <w:highlight w:val="yellow"/>
          <w:lang w:val="en-US"/>
        </w:rPr>
        <w:t>(42)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decades of </w:t>
      </w:r>
      <w:r w:rsidRPr="00793060">
        <w:rPr>
          <w:rFonts w:ascii="Arial" w:eastAsia="TimesNewRomanPSMT" w:hAnsi="Arial" w:cs="Arial"/>
          <w:highlight w:val="yellow"/>
          <w:lang w:val="en-US"/>
        </w:rPr>
        <w:t>(43)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efforts that have been made to decipher </w:t>
      </w:r>
      <w:r w:rsidRPr="00192DDF">
        <w:rPr>
          <w:rFonts w:ascii="Arial" w:eastAsia="TimesNewRomanPSMT" w:hAnsi="Arial" w:cs="Arial"/>
          <w:highlight w:val="yellow"/>
          <w:lang w:val="en-US"/>
        </w:rPr>
        <w:t>(44)</w:t>
      </w:r>
      <w:r w:rsidRPr="005E3A6D">
        <w:rPr>
          <w:rFonts w:ascii="Arial" w:eastAsia="TimesNewRomanPSMT" w:hAnsi="Arial" w:cs="Arial"/>
          <w:lang w:val="en-US"/>
        </w:rPr>
        <w:t xml:space="preserve"> corresponding molecular events. </w:t>
      </w:r>
      <w:r w:rsidRPr="00192DDF">
        <w:rPr>
          <w:rFonts w:ascii="Arial" w:eastAsia="TimesNewRomanPSMT" w:hAnsi="Arial" w:cs="Arial"/>
          <w:highlight w:val="yellow"/>
          <w:lang w:val="en-US"/>
        </w:rPr>
        <w:t>(45)</w:t>
      </w:r>
      <w:r w:rsidRPr="005E3A6D">
        <w:rPr>
          <w:rFonts w:ascii="Arial" w:eastAsia="TimesNewRomanPSMT" w:hAnsi="Arial" w:cs="Arial"/>
          <w:lang w:val="en-US"/>
        </w:rPr>
        <w:t xml:space="preserve"> number of </w:t>
      </w:r>
      <w:r w:rsidRPr="00192DDF">
        <w:rPr>
          <w:rFonts w:ascii="Arial" w:eastAsia="TimesNewRomanPSMT" w:hAnsi="Arial" w:cs="Arial"/>
          <w:highlight w:val="yellow"/>
          <w:lang w:val="en-US"/>
        </w:rPr>
        <w:t>(46)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hypothetical models have been proposed through </w:t>
      </w:r>
      <w:r w:rsidRPr="00192DDF">
        <w:rPr>
          <w:rFonts w:ascii="Arial" w:eastAsia="TimesNewRomanPSMT" w:hAnsi="Arial" w:cs="Arial"/>
          <w:highlight w:val="yellow"/>
          <w:lang w:val="en-US"/>
        </w:rPr>
        <w:t>(47)</w:t>
      </w:r>
      <w:r w:rsidRPr="005E3A6D">
        <w:rPr>
          <w:rFonts w:ascii="Arial" w:eastAsia="TimesNewRomanPSMT" w:hAnsi="Arial" w:cs="Arial"/>
          <w:lang w:val="en-US"/>
        </w:rPr>
        <w:t xml:space="preserve"> years to explain </w:t>
      </w:r>
      <w:r w:rsidRPr="00192DDF">
        <w:rPr>
          <w:rFonts w:ascii="Arial" w:eastAsia="TimesNewRomanPSMT" w:hAnsi="Arial" w:cs="Arial"/>
          <w:highlight w:val="yellow"/>
          <w:lang w:val="en-US"/>
        </w:rPr>
        <w:t>(48)</w:t>
      </w:r>
      <w:r w:rsidRPr="005E3A6D">
        <w:rPr>
          <w:rFonts w:ascii="Arial" w:eastAsia="TimesNewRomanPSMT" w:hAnsi="Arial" w:cs="Arial"/>
          <w:lang w:val="en-US"/>
        </w:rPr>
        <w:t xml:space="preserve"> polymerization and </w:t>
      </w:r>
      <w:r w:rsidRPr="00192DDF">
        <w:rPr>
          <w:rFonts w:ascii="Arial" w:eastAsia="TimesNewRomanPSMT" w:hAnsi="Arial" w:cs="Arial"/>
          <w:highlight w:val="yellow"/>
          <w:lang w:val="en-US"/>
        </w:rPr>
        <w:t>(49)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crystallization mechanisms of </w:t>
      </w:r>
      <w:r w:rsidRPr="00192DDF">
        <w:rPr>
          <w:rFonts w:ascii="Arial" w:eastAsia="TimesNewRomanPSMT" w:hAnsi="Arial" w:cs="Arial"/>
          <w:highlight w:val="yellow"/>
          <w:lang w:val="en-US"/>
        </w:rPr>
        <w:t>(50)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cellulose in </w:t>
      </w:r>
      <w:r w:rsidRPr="00192DDF">
        <w:rPr>
          <w:rFonts w:ascii="Arial" w:eastAsia="TimesNewRomanPSMT" w:hAnsi="Arial" w:cs="Arial"/>
          <w:highlight w:val="yellow"/>
          <w:lang w:val="en-US"/>
        </w:rPr>
        <w:t>(51)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higher plants (Delmer, 1999; Brown and Saxena 2000; Doblin et al. 2002). Even though these models have been useful in raising </w:t>
      </w:r>
      <w:r w:rsidRPr="00192DDF">
        <w:rPr>
          <w:rFonts w:ascii="Arial" w:eastAsia="TimesNewRomanPSMT" w:hAnsi="Arial" w:cs="Arial"/>
          <w:highlight w:val="yellow"/>
          <w:lang w:val="en-US"/>
        </w:rPr>
        <w:t>(52)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important fundamental questions and suggesting </w:t>
      </w:r>
      <w:r w:rsidRPr="00192DDF">
        <w:rPr>
          <w:rFonts w:ascii="Arial" w:eastAsia="TimesNewRomanPSMT" w:hAnsi="Arial" w:cs="Arial"/>
          <w:highlight w:val="yellow"/>
          <w:lang w:val="en-US"/>
        </w:rPr>
        <w:t>(53)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possible answers, their hypothetical nature </w:t>
      </w:r>
      <w:r>
        <w:rPr>
          <w:rFonts w:ascii="Arial" w:eastAsia="TimesNewRomanPSMT" w:hAnsi="Arial" w:cs="Arial"/>
          <w:lang w:val="en-US"/>
        </w:rPr>
        <w:t>continues to be unclear</w:t>
      </w:r>
      <w:r w:rsidRPr="005E3A6D">
        <w:rPr>
          <w:rFonts w:ascii="Arial" w:eastAsia="TimesNewRomanPSMT" w:hAnsi="Arial" w:cs="Arial"/>
          <w:lang w:val="en-US"/>
        </w:rPr>
        <w:t xml:space="preserve">. In this review article, we aim to generalize </w:t>
      </w:r>
      <w:r w:rsidRPr="00812361">
        <w:rPr>
          <w:rFonts w:ascii="Arial" w:eastAsia="TimesNewRomanPSMT" w:hAnsi="Arial" w:cs="Arial"/>
          <w:highlight w:val="yellow"/>
          <w:lang w:val="en-US"/>
        </w:rPr>
        <w:t>(54)</w:t>
      </w:r>
      <w:r w:rsidRPr="005E3A6D">
        <w:rPr>
          <w:rFonts w:ascii="Arial" w:eastAsia="TimesNewRomanPSMT" w:hAnsi="Arial" w:cs="Arial"/>
          <w:lang w:val="en-US"/>
        </w:rPr>
        <w:t xml:space="preserve"> previously demonstrated aspects related to </w:t>
      </w:r>
      <w:r w:rsidRPr="00812361">
        <w:rPr>
          <w:rFonts w:ascii="Arial" w:eastAsia="TimesNewRomanPSMT" w:hAnsi="Arial" w:cs="Arial"/>
          <w:highlight w:val="yellow"/>
          <w:lang w:val="en-US"/>
        </w:rPr>
        <w:t>(55)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cellulose biosynthesis and revisit </w:t>
      </w:r>
      <w:r w:rsidRPr="00812361">
        <w:rPr>
          <w:rFonts w:ascii="Arial" w:eastAsia="TimesNewRomanPSMT" w:hAnsi="Arial" w:cs="Arial"/>
          <w:highlight w:val="yellow"/>
          <w:lang w:val="en-US"/>
        </w:rPr>
        <w:t>(56)</w:t>
      </w:r>
      <w:r w:rsidRPr="005E3A6D">
        <w:rPr>
          <w:rFonts w:ascii="Arial" w:eastAsia="TimesNewRomanPSMT" w:hAnsi="Arial" w:cs="Arial"/>
          <w:lang w:val="en-US"/>
        </w:rPr>
        <w:t xml:space="preserve"> number of </w:t>
      </w:r>
      <w:r w:rsidRPr="00812361">
        <w:rPr>
          <w:rFonts w:ascii="Arial" w:eastAsia="TimesNewRomanPSMT" w:hAnsi="Arial" w:cs="Arial"/>
          <w:highlight w:val="yellow"/>
          <w:lang w:val="en-US"/>
        </w:rPr>
        <w:t>(57)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arguable concepts that are generally accepted </w:t>
      </w:r>
      <w:r w:rsidRPr="005E3A6D">
        <w:rPr>
          <w:rFonts w:ascii="Arial" w:hAnsi="Arial" w:cs="Arial"/>
          <w:lang w:val="en-US"/>
        </w:rPr>
        <w:t>a priori</w:t>
      </w:r>
      <w:r w:rsidRPr="005E3A6D">
        <w:rPr>
          <w:rFonts w:ascii="Arial" w:hAnsi="Arial" w:cs="Arial"/>
          <w:i/>
          <w:iCs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while not being supported by </w:t>
      </w:r>
      <w:r w:rsidRPr="00812361">
        <w:rPr>
          <w:rFonts w:ascii="Arial" w:eastAsia="TimesNewRomanPSMT" w:hAnsi="Arial" w:cs="Arial"/>
          <w:highlight w:val="yellow"/>
          <w:lang w:val="en-US"/>
        </w:rPr>
        <w:t>(58)</w:t>
      </w:r>
      <w:r>
        <w:rPr>
          <w:rFonts w:ascii="Arial" w:eastAsia="TimesNewRomanPSMT" w:hAnsi="Arial" w:cs="Arial"/>
          <w:lang w:val="en-US"/>
        </w:rPr>
        <w:t xml:space="preserve"> </w:t>
      </w:r>
      <w:r w:rsidRPr="005E3A6D">
        <w:rPr>
          <w:rFonts w:ascii="Arial" w:eastAsia="TimesNewRomanPSMT" w:hAnsi="Arial" w:cs="Arial"/>
          <w:lang w:val="en-US"/>
        </w:rPr>
        <w:t xml:space="preserve">unequivocal experimental evidence. </w:t>
      </w:r>
    </w:p>
    <w:p w:rsidR="00F16884" w:rsidRPr="00782667" w:rsidRDefault="00F16884">
      <w:pPr>
        <w:rPr>
          <w:lang w:val="en-US"/>
        </w:rPr>
      </w:pPr>
    </w:p>
    <w:sectPr w:rsidR="00F16884" w:rsidRPr="0078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7"/>
    <w:rsid w:val="00087054"/>
    <w:rsid w:val="00501142"/>
    <w:rsid w:val="0054050B"/>
    <w:rsid w:val="00782667"/>
    <w:rsid w:val="00A26732"/>
    <w:rsid w:val="00C04296"/>
    <w:rsid w:val="00C163CE"/>
    <w:rsid w:val="00F1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63D583E-BAF5-9F4F-A8BB-BF425980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Editor_Prof</cp:lastModifiedBy>
  <cp:revision>5</cp:revision>
  <dcterms:created xsi:type="dcterms:W3CDTF">2023-10-12T07:54:00Z</dcterms:created>
  <dcterms:modified xsi:type="dcterms:W3CDTF">2024-11-27T04:02:00Z</dcterms:modified>
</cp:coreProperties>
</file>