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shd w:val="clear" w:color="auto" w:fill="E2EFD9" w:themeFill="accent6" w:themeFillTint="33"/>
        <w:ind w:left="720" w:hanging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Карта интеграции МООК в учебный процесс по дисциплине «Страхование»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>Подбор МООК на основе сопоставления общих характеристик с дисциплиной: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41"/>
        <w:tblW w:w="14624" w:type="dxa"/>
        <w:jc w:val="left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88"/>
        <w:gridCol w:w="713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дисциплины:</w:t>
            </w:r>
          </w:p>
        </w:tc>
        <w:tc>
          <w:tcPr>
            <w:tcW w:w="7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МООК: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Страховое дело</w:t>
            </w:r>
          </w:p>
        </w:tc>
      </w:tr>
      <w:tr>
        <w:trPr/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Трудоемкость (часы/кредиты)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Трудоемкость (часы/кредиты)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180 ч. / 5 ЗЕ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" w:cs="Times New Roman" w:eastAsiaTheme="minor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sz w:val="24"/>
                <w:szCs w:val="24"/>
                <w:lang w:eastAsia="ru-RU"/>
              </w:rPr>
              <w:t>72 ч. / 2 ЗЕ</w:t>
            </w:r>
          </w:p>
        </w:tc>
      </w:tr>
      <w:tr>
        <w:trPr/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Рекомендации по направлению подготовки (если есть)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Style22"/>
              <w:widowControl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5"/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u w:val="none" w:color="000000"/>
                <w:lang w:eastAsia="ru-RU"/>
              </w:rPr>
              <w:t xml:space="preserve">38.03.01 Экономика, профиль «Управление финансовыми рисками и страхование» 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" w:cs="Times New Roman" w:eastAsiaTheme="minorEastAsia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Style15"/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 w:color="000000"/>
                <w:lang w:eastAsia="ru-RU"/>
              </w:rPr>
              <w:t>38.03.01 Экономика (уровень бакалавриат)</w:t>
            </w:r>
            <w:r>
              <w:rPr>
                <w:rStyle w:val="Style15"/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u w:val="none" w:color="000000"/>
                <w:lang w:eastAsia="ru-RU"/>
              </w:rPr>
              <w:t xml:space="preserve"> </w:t>
            </w:r>
          </w:p>
        </w:tc>
      </w:tr>
      <w:tr>
        <w:trPr/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обучения (очная/заочная/озо)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Платформа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" w:cs="Times New Roman" w:eastAsiaTheme="minor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sz w:val="24"/>
                <w:szCs w:val="24"/>
                <w:lang w:eastAsia="ru-RU"/>
              </w:rPr>
              <w:t>Открытое образование</w:t>
            </w:r>
          </w:p>
        </w:tc>
      </w:tr>
      <w:tr>
        <w:trPr/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Уровень образования (СПО/бакалавр/магистр/аспирантура/ДОП)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Ссылка на курс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hyperlink r:id="rId2">
              <w:r>
                <w:rPr>
                  <w:rStyle w:val="Style14"/>
                  <w:rFonts w:eastAsia="" w:cs="Times New Roman" w:ascii="Times New Roman" w:hAnsi="Times New Roman" w:eastAsiaTheme="minorEastAsia"/>
                  <w:color w:val="000000"/>
                  <w:sz w:val="24"/>
                  <w:szCs w:val="24"/>
                  <w:lang w:eastAsia="ru-RU"/>
                </w:rPr>
                <w:t>https://openedu.ru/course/spbu/INSURANCE/</w:t>
              </w:r>
            </w:hyperlink>
            <w:r>
              <w:rPr>
                <w:rFonts w:eastAsia="" w:cs="Times New Roman" w:ascii="Times New Roman" w:hAnsi="Times New Roman" w:eastAsiaTheme="minorEastAsia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Характер дисциплины в УП (базовая/специальная/электив/факультатив)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организация - разработчик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Специальная (модуль профиля)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Санкт-Петербургский государственный университет </w:t>
            </w:r>
          </w:p>
        </w:tc>
      </w:tr>
      <w:tr>
        <w:trPr/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аттестации (зачет/экзамен)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Язык обучения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" w:cs="Times New Roman" w:eastAsiaTheme="minor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</w:tr>
      <w:tr>
        <w:trPr/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1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Доступность (с объявленной даты, приурочен к началу семестра, On Demand (по требованию)/ ежемесячный запуск когорты)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7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С объявленной даты: 10 сентября — 31 декабря 2020 г.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>Подбор МООК на основе анализа содержания и формируемых компетенций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41"/>
        <w:tblW w:w="14596" w:type="dxa"/>
        <w:jc w:val="left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0"/>
        <w:gridCol w:w="722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7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2.1. Результаты обучения (РО) по дисциплине (3-6 основных):</w:t>
            </w:r>
          </w:p>
        </w:tc>
        <w:tc>
          <w:tcPr>
            <w:tcW w:w="72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Результаты обучения по МООК (если заявлены):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7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 w:val="false"/>
                <w:color w:val="000000"/>
                <w:sz w:val="24"/>
                <w:szCs w:val="24"/>
                <w:u w:val="single"/>
                <w:lang w:eastAsia="ru-RU"/>
              </w:rPr>
              <w:t>ПК</w:t>
            </w:r>
            <w:r>
              <w:rPr>
                <w:rFonts w:eastAsia="" w:cs="Times New Roman" w:ascii="Times New Roman" w:hAnsi="Times New Roman" w:eastAsiaTheme="minorEastAsia"/>
                <w:b/>
                <w:bCs w:val="false"/>
                <w:color w:val="000000"/>
                <w:sz w:val="24"/>
                <w:szCs w:val="24"/>
                <w:u w:val="none"/>
                <w:lang w:eastAsia="ru-RU"/>
              </w:rPr>
              <w:t xml:space="preserve">Н-1 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Владение основными научными понятиями и категориальным аппаратом современной экономики и их применение при решении прикладных задач.</w:t>
            </w:r>
          </w:p>
          <w:p>
            <w:pPr>
              <w:pStyle w:val="NoSpacing"/>
              <w:numPr>
                <w:ilvl w:val="0"/>
                <w:numId w:val="0"/>
              </w:numPr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 w:val="false"/>
                <w:color w:val="000000"/>
                <w:sz w:val="24"/>
                <w:szCs w:val="24"/>
                <w:u w:val="none"/>
                <w:lang w:eastAsia="ru-RU"/>
              </w:rPr>
              <w:t xml:space="preserve">ПКН-2 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Способность на основе существующих методик, нормативно-правовой базы рассчитывать финансово-экономические показатели, анализировать и содержательно объяснять природу экономических процессов на микро- и макроуровне.</w:t>
            </w:r>
          </w:p>
          <w:p>
            <w:pPr>
              <w:pStyle w:val="NoSpacing"/>
              <w:numPr>
                <w:ilvl w:val="0"/>
                <w:numId w:val="0"/>
              </w:numPr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  <w:t xml:space="preserve">ПКП-1 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Способность разрабатывать основные направления риск - менеджмента и страховые продукты</w:t>
            </w:r>
          </w:p>
          <w:p>
            <w:pPr>
              <w:pStyle w:val="NoSpacing"/>
              <w:numPr>
                <w:ilvl w:val="0"/>
                <w:numId w:val="0"/>
              </w:numPr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 w:val="false"/>
                <w:color w:val="000000"/>
                <w:sz w:val="24"/>
                <w:szCs w:val="24"/>
                <w:u w:val="none"/>
                <w:lang w:eastAsia="ru-RU"/>
              </w:rPr>
              <w:t xml:space="preserve">ПКП-2 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Способность исследовать современное состояние и тенденции развития страхового рынка, выбирать приоритетные направления создания, продажи и использования страховых продуктов; разработки и обеспечения реализации программы страхования</w:t>
            </w:r>
          </w:p>
          <w:p>
            <w:pPr>
              <w:pStyle w:val="NoSpacing"/>
              <w:numPr>
                <w:ilvl w:val="0"/>
                <w:numId w:val="0"/>
              </w:numPr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 w:val="false"/>
                <w:color w:val="000000"/>
                <w:sz w:val="24"/>
                <w:szCs w:val="24"/>
                <w:u w:val="none"/>
                <w:lang w:eastAsia="ru-RU"/>
              </w:rPr>
              <w:t xml:space="preserve">ПКП-3 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Способность эффективно взаимодействовать с экономическими субъектами, организациями инфраструктуры страхового рынка.</w:t>
            </w:r>
          </w:p>
        </w:tc>
        <w:tc>
          <w:tcPr>
            <w:tcW w:w="72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ОК-3: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 xml:space="preserve"> способность использовать основы экономических знаний в различных сферах деятельности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" w:cs="Times New Roman" w:ascii="Times New Roman" w:hAnsi="Times New Roman" w:eastAsiaTheme="minorEastAsi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ОПК-1: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 xml:space="preserve">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" w:cs="Times New Roman" w:ascii="Times New Roman" w:hAnsi="Times New Roman" w:eastAsiaTheme="minorEastAsi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ОПК-4: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 xml:space="preserve"> способность находить организационно-управленческие решения в профессиональной деятельности и готовностью нести за них ответственность.</w:t>
            </w:r>
          </w:p>
        </w:tc>
      </w:tr>
      <w:tr>
        <w:trPr/>
        <w:tc>
          <w:tcPr>
            <w:tcW w:w="1459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 w:themeColor="text1"/>
                <w:sz w:val="24"/>
                <w:szCs w:val="24"/>
                <w:lang w:eastAsia="ru-RU"/>
              </w:rPr>
              <w:t>2.2. Степень соответствия РО (выполняется на основе экспертного суждения в % соответствия)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9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Соответствие составляет 30 %</w:t>
            </w:r>
          </w:p>
        </w:tc>
      </w:tr>
      <w:tr>
        <w:trPr/>
        <w:tc>
          <w:tcPr>
            <w:tcW w:w="1459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000000" w:themeColor="text1"/>
                <w:sz w:val="24"/>
                <w:szCs w:val="24"/>
                <w:lang w:eastAsia="ru-RU"/>
              </w:rPr>
              <w:t>2.3. Степень соответствия тематике (соответствует больше, чем на половину/соответствует 1 модуль/другое)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9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2EFD9" w:themeFill="accent6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Соответствует 1, 2, 5 теме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 xml:space="preserve">Выбор модели интеграции МООК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41"/>
        <w:tblW w:w="1485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850"/>
      </w:tblGrid>
      <w:tr>
        <w:trPr>
          <w:trHeight w:val="33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5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3.1. Выбор модели: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85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Модель 1. МООК-поддержка с технологией «перевернутый класс»</w:t>
            </w:r>
          </w:p>
        </w:tc>
      </w:tr>
      <w:tr>
        <w:trPr/>
        <w:tc>
          <w:tcPr>
            <w:tcW w:w="1485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3.2. Сформулируйте собственную цель использования МООК в преподавании вашей дисциплины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85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Повысить мотивацию обучающихся через применение разнообразных методов обучения и использование различных форматов представления учебного материала, а также активизировать самостоятельную работу студентов.</w:t>
            </w:r>
          </w:p>
        </w:tc>
      </w:tr>
      <w:tr>
        <w:trPr/>
        <w:tc>
          <w:tcPr>
            <w:tcW w:w="1485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3.3. Обоснование выбора модели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85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При выборе модели МООК-поддержка ориентировалась на преимущества технологии «перевернутый класс». В МООК представлен качественный учебный материал, который соответствует результатам обучения по дисциплине. Использование структурированного учебного контента, представленного в формате видеолекция, повышает эффективность освоения материала, применение тестовых заданий в МООК для самоконтроля позволяет повысить качество обучения по дисциплине.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 xml:space="preserve">План интеграции МООК в преподаваемую дисциплину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41"/>
        <w:tblW w:w="14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570"/>
      </w:tblGrid>
      <w:tr>
        <w:trPr>
          <w:trHeight w:val="226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4.1. Название модели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22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7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МООК-поддержка</w:t>
            </w:r>
          </w:p>
        </w:tc>
      </w:tr>
      <w:tr>
        <w:trPr>
          <w:trHeight w:val="226" w:hRule="atLeast"/>
        </w:trPr>
        <w:tc>
          <w:tcPr>
            <w:tcW w:w="1457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4.2. Перераспределение объема учебной работы</w:t>
            </w:r>
          </w:p>
        </w:tc>
      </w:tr>
      <w:tr>
        <w:trPr>
          <w:trHeight w:val="198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7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tbl>
            <w:tblPr>
              <w:tblStyle w:val="a6"/>
              <w:tblW w:w="13647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717"/>
              <w:gridCol w:w="6929"/>
            </w:tblGrid>
            <w:tr>
              <w:trPr>
                <w:trHeight w:val="1980" w:hRule="atLeast"/>
              </w:trPr>
              <w:tc>
                <w:tcPr>
                  <w:tcW w:w="6717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Традиционный учебный процесс (часов):</w:t>
                  </w:r>
                </w:p>
                <w:tbl>
                  <w:tblPr>
                    <w:tblStyle w:val="a6"/>
                    <w:tblW w:w="3800" w:type="dxa"/>
                    <w:jc w:val="left"/>
                    <w:tblInd w:w="784" w:type="dxa"/>
                    <w:tblCellMar>
                      <w:top w:w="0" w:type="dxa"/>
                      <w:left w:w="9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10"/>
                    <w:gridCol w:w="661"/>
                    <w:gridCol w:w="675"/>
                    <w:gridCol w:w="1015"/>
                    <w:gridCol w:w="939"/>
                  </w:tblGrid>
                  <w:tr>
                    <w:trPr>
                      <w:trHeight w:val="423" w:hRule="atLeast"/>
                    </w:trPr>
                    <w:tc>
                      <w:tcPr>
                        <w:tcW w:w="1846" w:type="dxa"/>
                        <w:gridSpan w:val="3"/>
                        <w:tcBorders/>
                        <w:shd w:fill="auto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Ауд.</w:t>
                        </w:r>
                      </w:p>
                    </w:tc>
                    <w:tc>
                      <w:tcPr>
                        <w:tcW w:w="1015" w:type="dxa"/>
                        <w:tcBorders/>
                        <w:shd w:fill="auto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ListParagraph"/>
                          <w:spacing w:lineRule="auto" w:line="240" w:before="0" w:after="0"/>
                          <w:ind w:left="61" w:hanging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СРС</w:t>
                        </w:r>
                      </w:p>
                    </w:tc>
                    <w:tc>
                      <w:tcPr>
                        <w:tcW w:w="939" w:type="dxa"/>
                        <w:tcBorders/>
                        <w:shd w:fill="auto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510" w:type="dxa"/>
                        <w:tcBorders/>
                        <w:shd w:fill="auto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лк</w:t>
                        </w:r>
                      </w:p>
                    </w:tc>
                    <w:tc>
                      <w:tcPr>
                        <w:tcW w:w="661" w:type="dxa"/>
                        <w:tcBorders/>
                        <w:shd w:fill="auto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ListParagraph"/>
                          <w:spacing w:lineRule="auto" w:line="240" w:before="0" w:after="0"/>
                          <w:ind w:left="0" w:hanging="188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675" w:type="dxa"/>
                        <w:tcBorders/>
                        <w:shd w:fill="auto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лб</w:t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b w:val="false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112</w:t>
                        </w:r>
                      </w:p>
                    </w:tc>
                    <w:tc>
                      <w:tcPr>
                        <w:tcW w:w="939" w:type="dxa"/>
                        <w:vMerge w:val="restart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b w:val="false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510" w:type="dxa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b w:val="false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661" w:type="dxa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b w:val="false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675" w:type="dxa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b w:val="false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015" w:type="dxa"/>
                        <w:vMerge w:val="continue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cs="Times New Roman"/>
                            <w:b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r>
                      </w:p>
                    </w:tc>
                    <w:tc>
                      <w:tcPr>
                        <w:tcW w:w="939" w:type="dxa"/>
                        <w:vMerge w:val="continue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b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9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Учебный процесс с использованием МООК (часов):</w:t>
                  </w:r>
                </w:p>
                <w:tbl>
                  <w:tblPr>
                    <w:tblStyle w:val="a6"/>
                    <w:tblW w:w="6175" w:type="dxa"/>
                    <w:jc w:val="left"/>
                    <w:tblInd w:w="575" w:type="dxa"/>
                    <w:tblCellMar>
                      <w:top w:w="0" w:type="dxa"/>
                      <w:left w:w="9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467"/>
                    <w:gridCol w:w="525"/>
                    <w:gridCol w:w="496"/>
                    <w:gridCol w:w="1177"/>
                    <w:gridCol w:w="964"/>
                    <w:gridCol w:w="1608"/>
                    <w:gridCol w:w="1"/>
                    <w:gridCol w:w="936"/>
                  </w:tblGrid>
                  <w:tr>
                    <w:trPr>
                      <w:trHeight w:val="551" w:hRule="atLeast"/>
                    </w:trPr>
                    <w:tc>
                      <w:tcPr>
                        <w:tcW w:w="1488" w:type="dxa"/>
                        <w:gridSpan w:val="3"/>
                        <w:tcBorders/>
                        <w:shd w:fill="auto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Ауд.</w:t>
                        </w:r>
                      </w:p>
                    </w:tc>
                    <w:tc>
                      <w:tcPr>
                        <w:tcW w:w="3749" w:type="dxa"/>
                        <w:gridSpan w:val="3"/>
                        <w:tcBorders/>
                        <w:shd w:fill="auto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СРС</w:t>
                        </w:r>
                      </w:p>
                    </w:tc>
                    <w:tc>
                      <w:tcPr>
                        <w:tcW w:w="937" w:type="dxa"/>
                        <w:gridSpan w:val="2"/>
                        <w:tcBorders/>
                        <w:shd w:fill="auto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467" w:type="dxa"/>
                        <w:tcBorders/>
                        <w:shd w:fill="auto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</w:rPr>
                          <w:t>лк</w:t>
                        </w:r>
                      </w:p>
                    </w:tc>
                    <w:tc>
                      <w:tcPr>
                        <w:tcW w:w="525" w:type="dxa"/>
                        <w:tcBorders/>
                        <w:shd w:fill="auto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ListParagraph"/>
                          <w:spacing w:lineRule="auto" w:line="240" w:before="0" w:after="0"/>
                          <w:ind w:left="0" w:hanging="188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496" w:type="dxa"/>
                        <w:tcBorders/>
                        <w:shd w:fill="auto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</w:rPr>
                          <w:t>лб</w:t>
                        </w:r>
                      </w:p>
                    </w:tc>
                    <w:tc>
                      <w:tcPr>
                        <w:tcW w:w="1177" w:type="dxa"/>
                        <w:tcBorders/>
                        <w:shd w:color="auto" w:fill="auto" w:val="clear"/>
                        <w:tcMar>
                          <w:left w:w="9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</w:rPr>
                          <w:t>Традици-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</w:rPr>
                          <w:t>онная</w:t>
                        </w:r>
                      </w:p>
                    </w:tc>
                    <w:tc>
                      <w:tcPr>
                        <w:tcW w:w="964" w:type="dxa"/>
                        <w:tcBorders/>
                        <w:shd w:color="auto" w:fill="auto" w:val="clear"/>
                        <w:tcMar>
                          <w:left w:w="9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</w:rPr>
                          <w:t>МООК</w:t>
                        </w:r>
                      </w:p>
                    </w:tc>
                    <w:tc>
                      <w:tcPr>
                        <w:tcW w:w="1609" w:type="dxa"/>
                        <w:gridSpan w:val="2"/>
                        <w:tcBorders/>
                        <w:shd w:fill="auto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 w:val="false"/>
                            <w:bCs w:val="false"/>
                            <w:color w:val="000000" w:themeColor="text1"/>
                            <w:sz w:val="24"/>
                            <w:szCs w:val="24"/>
                          </w:rPr>
                          <w:t>Электронный курс (при наличии)</w:t>
                        </w:r>
                      </w:p>
                    </w:tc>
                    <w:tc>
                      <w:tcPr>
                        <w:tcW w:w="936" w:type="dxa"/>
                        <w:vMerge w:val="restart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467" w:type="dxa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525" w:type="dxa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496" w:type="dxa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77" w:type="dxa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964" w:type="dxa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1609" w:type="dxa"/>
                        <w:gridSpan w:val="2"/>
                        <w:tcBorders/>
                        <w:shd w:color="auto" w:fill="E2EFD9" w:themeFill="accent6" w:themeFillTint="33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936" w:type="dxa"/>
                        <w:vMerge w:val="continue"/>
                        <w:tcBorders/>
                        <w:shd w:color="auto" w:fill="009999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1457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ind w:left="318" w:hanging="318"/>
              <w:rPr>
                <w:rFonts w:ascii="Times New Roman" w:hAnsi="Times New Roman" w:eastAsia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Технологическая карта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  <w:tbl>
            <w:tblPr>
              <w:tblW w:w="14427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right w:val="single" w:sz="4" w:space="0" w:color="00000A"/>
                <w:insideV w:val="single" w:sz="4" w:space="0" w:color="00000A"/>
              </w:tblBorders>
              <w:tblCellMar>
                <w:top w:w="30" w:type="dxa"/>
                <w:left w:w="35" w:type="dxa"/>
                <w:bottom w:w="30" w:type="dxa"/>
                <w:right w:w="45" w:type="dxa"/>
              </w:tblCellMar>
              <w:tblLook w:firstRow="1" w:noVBand="1" w:lastRow="0" w:firstColumn="1" w:lastColumn="0" w:noHBand="0" w:val="04a0"/>
            </w:tblPr>
            <w:tblGrid>
              <w:gridCol w:w="3764"/>
              <w:gridCol w:w="1960"/>
              <w:gridCol w:w="2551"/>
              <w:gridCol w:w="2038"/>
              <w:gridCol w:w="2675"/>
              <w:gridCol w:w="1438"/>
            </w:tblGrid>
            <w:tr>
              <w:trPr>
                <w:trHeight w:val="675" w:hRule="atLeast"/>
              </w:trPr>
              <w:tc>
                <w:tcPr>
                  <w:tcW w:w="376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ема раздела</w:t>
                  </w:r>
                </w:p>
              </w:tc>
              <w:tc>
                <w:tcPr>
                  <w:tcW w:w="10662" w:type="dxa"/>
                  <w:gridSpan w:val="5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Учебные мероприятия по курсу</w:t>
                    <w:br/>
                  </w: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(название задания/учебной деятельности, вид задания (индивидуальное, групповое)</w:t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tcW w:w="3764" w:type="dxa"/>
                  <w:vMerge w:val="continue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МООК 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«Страховое дело»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Электронный курс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(в 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Moodle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15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Аудиторная</w:t>
                  </w:r>
                </w:p>
              </w:tc>
            </w:tr>
            <w:tr>
              <w:trPr>
                <w:trHeight w:val="467" w:hRule="atLeast"/>
              </w:trPr>
              <w:tc>
                <w:tcPr>
                  <w:tcW w:w="3764" w:type="dxa"/>
                  <w:vMerge w:val="continue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960" w:type="dxa"/>
                  <w:vMerge w:val="continue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2551" w:type="dxa"/>
                  <w:vMerge w:val="continue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color w:val="002060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2038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Лекция</w:t>
                  </w:r>
                </w:p>
              </w:tc>
              <w:tc>
                <w:tcPr>
                  <w:tcW w:w="2675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Практич. занятие/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семинар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Лабораторная работа</w:t>
                  </w:r>
                </w:p>
              </w:tc>
            </w:tr>
            <w:tr>
              <w:trPr>
                <w:trHeight w:val="1798" w:hRule="atLeast"/>
              </w:trPr>
              <w:tc>
                <w:tcPr>
                  <w:tcW w:w="37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left w:w="35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Сущность страхования и сфера его применения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left w:w="3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Просмотреть видеолекцию, выполнить тест для самопроверки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left w:w="35" w:type="dxa"/>
                  </w:tcMar>
                </w:tcPr>
                <w:p>
                  <w:pPr>
                    <w:pStyle w:val="Normal"/>
                    <w:spacing w:lineRule="auto" w:line="240" w:before="0" w:after="24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Зарегистрироваться на МООК «Страховое дело», выполнить задание по МООК, прикрепить результаты тестирования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24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Интерактивная лекция</w:t>
                  </w:r>
                </w:p>
              </w:tc>
              <w:tc>
                <w:tcPr>
                  <w:tcW w:w="26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24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Интерактивный опрос, решение задач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24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58" w:hRule="atLeast"/>
              </w:trPr>
              <w:tc>
                <w:tcPr>
                  <w:tcW w:w="37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left w:w="35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Страховая услуга: экономическая и правовая составляющие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left w:w="3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Просмотреть видеолекцию, выполнить тест для самопроверки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left w:w="35" w:type="dxa"/>
                  </w:tcMar>
                </w:tcPr>
                <w:p>
                  <w:pPr>
                    <w:pStyle w:val="Normal"/>
                    <w:spacing w:before="0" w:after="16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Подготовиться к дискуссии по теме на основе изучения видеолекций и лекционного материала МООК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24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Интерактивная лекция</w:t>
                  </w:r>
                </w:p>
              </w:tc>
              <w:tc>
                <w:tcPr>
                  <w:tcW w:w="26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24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Подготов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ить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реферативный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обзор научных публикаций по вопросам темы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24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58" w:hRule="atLeast"/>
              </w:trPr>
              <w:tc>
                <w:tcPr>
                  <w:tcW w:w="37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left w:w="35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Финансовые основы деятельности коммерческого страховщика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left w:w="3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Просмотреть видеолекцию, выполнить тест для самопроверки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left w:w="35" w:type="dxa"/>
                  </w:tcMar>
                </w:tcPr>
                <w:p>
                  <w:pPr>
                    <w:pStyle w:val="Normal"/>
                    <w:tabs>
                      <w:tab w:val="left" w:pos="328" w:leader="none"/>
                    </w:tabs>
                    <w:spacing w:lineRule="auto" w:line="240" w:before="0" w:after="240"/>
                    <w:ind w:left="3" w:hanging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Подготовить презентацию основных проблем в сфере финансовой деятельности страховщика на основе материала МООК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24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Интерактивная лекция</w:t>
                  </w:r>
                </w:p>
              </w:tc>
              <w:tc>
                <w:tcPr>
                  <w:tcW w:w="26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tabs>
                      <w:tab w:val="left" w:pos="328" w:leader="none"/>
                    </w:tabs>
                    <w:spacing w:lineRule="auto" w:line="240" w:before="0" w:after="240"/>
                    <w:ind w:left="3" w:hanging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Обсуждение и анализ статистических данных. Решение задач и кейсов.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24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258" w:hRule="atLeast"/>
              </w:trPr>
              <w:tc>
                <w:tcPr>
                  <w:tcW w:w="37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5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Формы текущего контроля по разделу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240"/>
                    <w:rPr>
                      <w:rFonts w:ascii="Times New Roman" w:hAnsi="Times New Roman" w:eastAsia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2060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24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Тестирование </w:t>
                  </w:r>
                </w:p>
              </w:tc>
              <w:tc>
                <w:tcPr>
                  <w:tcW w:w="615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E2EFD9" w:themeFill="accent6" w:themeFillTint="33" w:val="clear"/>
                  <w:tcMar>
                    <w:top w:w="0" w:type="dxa"/>
                    <w:left w:w="-5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240"/>
                    <w:rPr>
                      <w:rFonts w:ascii="Times New Roman" w:hAnsi="Times New Roman" w:eastAsia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2060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 w:themeColor="text1"/>
                <w:sz w:val="24"/>
                <w:szCs w:val="24"/>
                <w:lang w:eastAsia="ru-RU"/>
              </w:rPr>
              <w:t>4.4. В свободной форме выскажитесь по поводу ожиданий и опасений относительно использования МООК в Вашей дисциплине</w:t>
            </w:r>
          </w:p>
          <w:p>
            <w:pPr>
              <w:pStyle w:val="Normal"/>
              <w:shd w:val="clear" w:color="auto" w:fill="E2EFD9" w:themeFill="accent6" w:themeFillTint="33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E2EFD9" w:themeFill="accent6" w:themeFillTint="33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Опасения связаны с ограниченным временным интервалом записи на курс.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  <w:t xml:space="preserve"> </w:t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710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reference">
    <w:name w:val="endnote reference"/>
    <w:basedOn w:val="DefaultParagraphFont"/>
    <w:uiPriority w:val="99"/>
    <w:semiHidden/>
    <w:unhideWhenUsed/>
    <w:qFormat/>
    <w:rsid w:val="00f5710a"/>
    <w:rPr>
      <w:vertAlign w:val="superscript"/>
    </w:rPr>
  </w:style>
  <w:style w:type="character" w:styleId="Style14">
    <w:name w:val="Интернет-ссылка"/>
    <w:basedOn w:val="DefaultParagraphFont"/>
    <w:uiPriority w:val="99"/>
    <w:unhideWhenUsed/>
    <w:rsid w:val="00f5710a"/>
    <w:rPr>
      <w:color w:val="0563C1" w:themeColor="hyperlink"/>
      <w:u w:val="single"/>
    </w:rPr>
  </w:style>
  <w:style w:type="character" w:styleId="Style15">
    <w:name w:val="Без интервала Знак"/>
    <w:qFormat/>
    <w:rPr/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f5710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5710a"/>
    <w:pPr>
      <w:spacing w:lineRule="auto" w:line="276" w:before="0" w:after="200"/>
      <w:ind w:left="720" w:hanging="0"/>
      <w:contextualSpacing/>
    </w:pPr>
    <w:rPr/>
  </w:style>
  <w:style w:type="paragraph" w:styleId="Style22">
    <w:name w:val="список с точками"/>
    <w:qFormat/>
    <w:pPr>
      <w:widowControl/>
      <w:tabs>
        <w:tab w:val="left" w:pos="360" w:leader="none"/>
        <w:tab w:val="left" w:pos="756" w:leader="none"/>
      </w:tabs>
      <w:bidi w:val="0"/>
      <w:spacing w:lineRule="auto" w:line="312"/>
      <w:ind w:left="756" w:hanging="0"/>
      <w:jc w:val="both"/>
    </w:pPr>
    <w:rPr>
      <w:rFonts w:ascii="Arial Unicode MS" w:hAnsi="Arial Unicode MS" w:eastAsia="Arial Unicode MS" w:cs="Arial Unicode MS"/>
      <w:color w:val="000000"/>
      <w:sz w:val="24"/>
      <w:szCs w:val="24"/>
      <w:u w:val="none" w:color="000000"/>
      <w:lang w:val="ru-RU" w:eastAsia="en-US" w:bidi="ar-SA"/>
    </w:rPr>
  </w:style>
  <w:style w:type="paragraph" w:styleId="NoSpacing">
    <w:name w:val="No Spacing"/>
    <w:qFormat/>
    <w:pPr>
      <w:widowControl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571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Таблица простая 41"/>
    <w:basedOn w:val="a1"/>
    <w:uiPriority w:val="44"/>
    <w:rsid w:val="00f5710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penedu.ru/course/spbu/INSURANCE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B717-4763-4809-B481-53F2F853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LibreOffice/5.2.1.2$Windows_x86 LibreOffice_project/31dd62db80d4e60af04904455ec9c9219178d620</Application>
  <Pages>4</Pages>
  <Words>629</Words>
  <Characters>4802</Characters>
  <CharactersWithSpaces>5322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2020-10-16T00:00:00Z</dcterms:created>
  <dc:creator>Galina Mozhaeva</dc:creator>
  <dc:description/>
  <dc:language>ru-RU</dc:language>
  <cp:lastModifiedBy/>
  <dcterms:modified xsi:type="dcterms:W3CDTF">2020-12-08T09:00:54Z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